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909E" w14:textId="77777777" w:rsidR="00D017F3" w:rsidRDefault="00D017F3" w:rsidP="00D017F3">
      <w:pPr>
        <w:pStyle w:val="Titolo1"/>
        <w:spacing w:before="0" w:beforeAutospacing="0" w:after="450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t xml:space="preserve">Comunicato stampa del </w:t>
      </w:r>
      <w:proofErr w:type="gramStart"/>
      <w:r>
        <w:rPr>
          <w:rFonts w:eastAsia="Times New Roman"/>
          <w:sz w:val="35"/>
          <w:szCs w:val="35"/>
        </w:rPr>
        <w:t>Consiglio dei Ministri</w:t>
      </w:r>
      <w:proofErr w:type="gramEnd"/>
      <w:r>
        <w:rPr>
          <w:rFonts w:eastAsia="Times New Roman"/>
          <w:sz w:val="35"/>
          <w:szCs w:val="35"/>
        </w:rPr>
        <w:t xml:space="preserve"> n. 46</w:t>
      </w:r>
    </w:p>
    <w:p w14:paraId="36CEE4A7" w14:textId="77777777" w:rsidR="00D017F3" w:rsidRDefault="00D017F3" w:rsidP="00D017F3">
      <w:pPr>
        <w:pStyle w:val="h5"/>
        <w:spacing w:before="0" w:beforeAutospacing="0" w:after="375" w:afterAutospacing="0"/>
      </w:pPr>
      <w:r>
        <w:t xml:space="preserve">16 </w:t>
      </w:r>
      <w:proofErr w:type="gramStart"/>
      <w:r>
        <w:t>Maggio</w:t>
      </w:r>
      <w:proofErr w:type="gramEnd"/>
      <w:r>
        <w:t xml:space="preserve"> 2020</w:t>
      </w:r>
    </w:p>
    <w:p w14:paraId="3A2699AF" w14:textId="77777777" w:rsidR="00D017F3" w:rsidRDefault="00D017F3" w:rsidP="00D017F3">
      <w:pPr>
        <w:pStyle w:val="NormaleWeb"/>
        <w:spacing w:before="0" w:beforeAutospacing="0" w:after="450" w:afterAutospacing="0"/>
      </w:pPr>
      <w:r>
        <w:t xml:space="preserve">Il </w:t>
      </w:r>
      <w:proofErr w:type="gramStart"/>
      <w:r>
        <w:t>Consiglio dei Ministri</w:t>
      </w:r>
      <w:proofErr w:type="gramEnd"/>
      <w:r>
        <w:t xml:space="preserve"> si è riunito venerdì 15 maggio 2020, alle ore 13.00 a Palazzo Chigi, sotto la presidenza del Presidente Giuseppe Conte. Segretario il Sottosegretario alla Presidenza Riccardo Fraccaro.</w:t>
      </w:r>
    </w:p>
    <w:p w14:paraId="75E29F32" w14:textId="77777777" w:rsidR="00D017F3" w:rsidRDefault="00D017F3" w:rsidP="00D017F3">
      <w:pPr>
        <w:pStyle w:val="NormaleWeb"/>
        <w:spacing w:before="0" w:beforeAutospacing="0" w:after="450" w:afterAutospacing="0"/>
      </w:pPr>
      <w:r>
        <w:t>*****</w:t>
      </w:r>
    </w:p>
    <w:p w14:paraId="12022C17" w14:textId="77777777" w:rsidR="00D017F3" w:rsidRDefault="00D017F3" w:rsidP="00D017F3">
      <w:pPr>
        <w:pStyle w:val="Titolo2"/>
        <w:spacing w:before="0" w:beforeAutospacing="0" w:after="300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t>COIVD-19, MISURE URGENTI PER FRONTEGGIARE L'EMERGENZA EPIDEMIOLOGICA</w:t>
      </w:r>
    </w:p>
    <w:p w14:paraId="7862299F" w14:textId="77777777" w:rsidR="00D017F3" w:rsidRDefault="00D017F3" w:rsidP="00D017F3">
      <w:pPr>
        <w:pStyle w:val="NormaleWeb"/>
        <w:spacing w:before="0" w:beforeAutospacing="0" w:after="450" w:afterAutospacing="0"/>
      </w:pPr>
      <w:r>
        <w:t>Il Consiglio dei Ministri, su proposta del Presidente Giuseppe Conte e del Ministro della salute Roberto Speranza, ha approvato un decreto-legge che introduce ulteriori misure urgenti per fronteggiare l’emergenza epidemiologica da COVID-19.</w:t>
      </w:r>
      <w:r>
        <w:br/>
        <w:t>Il decreto delinea il quadro normativo nazionale all’interno del quale, dal 18 maggio al 31 luglio 2020, con appositi decreti od ordinanze, statali, regionali o comunali, potranno essere disciplinati gli spostamenti delle persone fisiche e le modalità di svolgimento delle attività economiche, produttive e sociali.</w:t>
      </w:r>
    </w:p>
    <w:p w14:paraId="68E3AC99" w14:textId="77777777" w:rsidR="00D017F3" w:rsidRDefault="00D017F3" w:rsidP="00D017F3">
      <w:pPr>
        <w:pStyle w:val="Titolo3"/>
        <w:spacing w:before="0" w:beforeAutospacing="0" w:after="375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t>-Spostamenti</w:t>
      </w:r>
    </w:p>
    <w:p w14:paraId="016162E5" w14:textId="77777777" w:rsidR="00D017F3" w:rsidRDefault="00D017F3" w:rsidP="00D017F3">
      <w:pPr>
        <w:pStyle w:val="NormaleWeb"/>
        <w:spacing w:before="0" w:beforeAutospacing="0" w:after="450" w:afterAutospacing="0"/>
      </w:pPr>
      <w:r>
        <w:t>A partire dal 18 maggio 2020, gli spostamenti delle persone all’interno del territorio della stessa regione non saranno soggetti ad alcuna limitazione. Lo Stato o le Regioni, in base a quanto previsto dal decreto-legge 25 marzo 2020, n. 19, potranno adottare o reiterare misure limitative della circolazione all’interno del territorio regionale relativamente a specifiche aree interessate da un particolare aggravamento della situazione epidemiologica.</w:t>
      </w:r>
      <w:r>
        <w:br/>
        <w:t>Fino al 2 giugno 2020 restano vietati gli spostamenti, con mezzi di trasporto pubblici e privati, in una regione diversa rispetto a quella in cui attualmente ci si trova, così come quelli da e per l’estero, salvo che per comprovate esigenze lavorative, di assoluta urgenza o per motivi di salute; resta in ogni caso consentito il rientro presso il proprio domicilio, abitazione o residenza. </w:t>
      </w:r>
      <w:r>
        <w:br/>
        <w:t>A decorrere dal 3 giugno 2020, gli spostamenti tra regioni diverse potranno essere limitati solo con provvedimenti statali adottati ai sensi dell’articolo 2 del decreto-legge 25 marzo 2020, n. 19, in relazione a specifiche aree del territorio nazionale, secondo principi di adeguatezza e proporzionalità al rischio epidemiologico effettivamente presente in dette aree. </w:t>
      </w:r>
      <w:r>
        <w:br/>
        <w:t>Tali norme varranno anche per gli spostamenti da e per l’estero, che potranno essere limitati solo con provvedimenti statali anche in relazione a specifici Stati e territori, secondo principi di adeguatezza e proporzionalità al rischio epidemiologico e nel rispetto dei vincoli derivanti dall’ordinamento dell’Unione europea e degli obblighi internazionali. Saranno comunque consentiti gli spostamenti tra la Città del Vaticano o la Repubblica di San Marino e le regioni confinanti.</w:t>
      </w:r>
      <w:r>
        <w:br/>
        <w:t>È confermato il divieto di mobilità dalla propria abitazione o dimora per le persone sottoposte alla misura della quarantena per provvedimento dell’autorità sanitaria in quanto risultate positive al virus COVID-19, fino all’accertamento della guarigione o al ricovero in una struttura sanitaria o altra struttura allo scopo destinata.</w:t>
      </w:r>
      <w:r>
        <w:br/>
      </w:r>
      <w:r>
        <w:lastRenderedPageBreak/>
        <w:t>La quarantena precauzionale è applicata con provvedimento dell’autorità sanitaria ai soggetti che hanno avuto contatti stretti con casi confermati di soggetti positivi al virus COVID-19 e agli altri soggetti indicati con i provvedimenti adottati ai sensi dell'articolo 2 del decreto-legge n. 19 del 2020.</w:t>
      </w:r>
      <w:r>
        <w:br/>
        <w:t>Resta vietato, l’assembramento di persone in luoghi pubblici o aperti al pubblico.</w:t>
      </w:r>
      <w:r>
        <w:br/>
        <w:t>Le funzioni religiose con la partecipazione di persone si svolgono nel rispetto dei protocolli sottoscritti dal Governo e dalle rispettive confessioni, contenenti le misure idonee a prevenire il rischio di contagio.</w:t>
      </w:r>
    </w:p>
    <w:p w14:paraId="101BA198" w14:textId="77777777" w:rsidR="00D017F3" w:rsidRDefault="00D017F3" w:rsidP="00D017F3">
      <w:pPr>
        <w:pStyle w:val="Titolo3"/>
        <w:spacing w:before="0" w:beforeAutospacing="0" w:after="375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t>- Attività economiche, produttive e sociali</w:t>
      </w:r>
    </w:p>
    <w:p w14:paraId="0F12F2C1" w14:textId="77777777" w:rsidR="00D017F3" w:rsidRDefault="00D017F3" w:rsidP="00D017F3">
      <w:pPr>
        <w:pStyle w:val="NormaleWeb"/>
        <w:spacing w:before="0" w:beforeAutospacing="0" w:after="450" w:afterAutospacing="0"/>
      </w:pPr>
      <w:r>
        <w:t>A partire dal 18 maggio, le attività economiche, produttive e sociali devono svolgersi nel rispetto dei contenuti di protocolli o linee guida, idonei a prevenire o ridurre il rischio di contagio nel settore di riferimento o in ambiti analoghi, adottati dalle regioni o dalla Conferenza delle regioni e delle province autonome, nel rispetto dei principi contenuti nei protocolli o nelle linee guida nazionali. In assenza di quelli regionali trovano applicazione i protocolli o le linee guida adottati a livello nazionale. Le misure limitative delle attività economiche e produttive possono essere adottate, nel rispetto dei principi di adeguatezza e proporzionalità, con provvedimenti statali emanati ai sensi dell’articolo 2 del decreto legge n. 19 del 2020 o, nelle more di tali provvedimenti, dalle Regioni.</w:t>
      </w:r>
      <w:r>
        <w:br/>
        <w:t>Per garantire lo svolgimento in condizioni di sicurezza delle attività economiche, produttive e sociali, le regioni monitorano con cadenza giornaliera l'andamento della situazione epidemiologica nei propri territori e, in relazione a tale andamento, le condizioni di adeguatezza del sistema sanitario regionale. I dati del monitoraggio sono comunicati giornalmente dalle regioni al Ministero della salute, all’Istituto superiore di sanità e al Comitato tecnico-scientifico.</w:t>
      </w:r>
      <w:r>
        <w:br/>
        <w:t>In relazione all’andamento della situazione epidemiologica sul territorio, la singola regione, informando contestualmente il Ministro della salute, può introdurre misure derogatorie, ampliative o restrittive, rispetto a quelle disposte a livello statale.</w:t>
      </w:r>
    </w:p>
    <w:p w14:paraId="64F78D5F" w14:textId="77777777" w:rsidR="00D017F3" w:rsidRDefault="00D017F3" w:rsidP="00D017F3">
      <w:pPr>
        <w:pStyle w:val="Titolo3"/>
        <w:spacing w:before="0" w:beforeAutospacing="0" w:after="375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t>- Sanzioni</w:t>
      </w:r>
    </w:p>
    <w:p w14:paraId="07F76100" w14:textId="77777777" w:rsidR="00D017F3" w:rsidRDefault="00D017F3" w:rsidP="00D017F3">
      <w:pPr>
        <w:pStyle w:val="NormaleWeb"/>
        <w:spacing w:before="0" w:beforeAutospacing="0" w:after="450" w:afterAutospacing="0"/>
      </w:pPr>
      <w:r>
        <w:t>Il mancato rispetto dei contenuti dei protocolli o delle linee guida regionali o, in assenza, nazionali, che non assicuri adeguati livelli di protezione, determina la sospensione dell’attività economica o produttiva fino al ripristino delle condizioni di sicurezza.</w:t>
      </w:r>
      <w:r>
        <w:br/>
        <w:t>Salvo che il fatto costituisca reato diverso da quello di cui all’articolo 650 del codice penale (“Inosservanza dei provvedimenti dell'Autorità”), le violazioni delle disposizioni del decreto, o dei decreti e delle ordinanze emanati per darne attuazione, sono punite con la sanzione amministrativa di cui all’articolo 4, comma 1, del decreto-legge 25 marzo 2020 n. 19, che prevede il pagamento di una somma da euro 400 a euro 3.000, aumentata fino a un terzo se la violazione avviene mediante l'utilizzo di un veicolo.</w:t>
      </w:r>
      <w:r>
        <w:br/>
        <w:t xml:space="preserve">Nei casi in cui la violazione sia commessa nell’esercizio di un’attività di impresa, si applica altresì la sanzione amministrativa accessoria della chiusura dell’esercizio o dell’attività da 5 a 30 giorni. Ove necessario per impedire la prosecuzione o la reiterazione della violazione, l’autorità procedente può disporre la chiusura provvisoria dell’attività o dell’esercizio per una durata non superiore a </w:t>
      </w:r>
      <w:proofErr w:type="gramStart"/>
      <w:r>
        <w:t>5</w:t>
      </w:r>
      <w:proofErr w:type="gramEnd"/>
      <w:r>
        <w:t xml:space="preserve"> giorni, eventualmente da scomputare dalla sanzione accessoria definitivamente irrogata, in sede di sua esecuzione. In caso di reiterata violazione della medesima disposizione la sanzione amministrativa è raddoppiata e quella accessoria è applicata nella misura massima.</w:t>
      </w:r>
    </w:p>
    <w:p w14:paraId="3850F2F3" w14:textId="77777777" w:rsidR="00D017F3" w:rsidRDefault="00D017F3" w:rsidP="00D017F3">
      <w:pPr>
        <w:pStyle w:val="NormaleWeb"/>
        <w:spacing w:before="0" w:beforeAutospacing="0" w:after="450" w:afterAutospacing="0"/>
      </w:pPr>
      <w:r>
        <w:t>*****</w:t>
      </w:r>
    </w:p>
    <w:p w14:paraId="148525BA" w14:textId="77777777" w:rsidR="00D017F3" w:rsidRDefault="00D017F3" w:rsidP="00D017F3">
      <w:pPr>
        <w:pStyle w:val="Titolo2"/>
        <w:spacing w:before="0" w:beforeAutospacing="0" w:after="300" w:afterAutospacing="0"/>
        <w:rPr>
          <w:rFonts w:eastAsia="Times New Roman"/>
        </w:rPr>
      </w:pPr>
      <w:r>
        <w:rPr>
          <w:rFonts w:eastAsia="Times New Roman"/>
          <w:sz w:val="35"/>
          <w:szCs w:val="35"/>
        </w:rPr>
        <w:lastRenderedPageBreak/>
        <w:t>DELIBERAZIONI A NORMA DEL TESTO UNICO SUGLI ENTI LOCALI</w:t>
      </w:r>
    </w:p>
    <w:p w14:paraId="5305150E" w14:textId="77777777" w:rsidR="00D017F3" w:rsidRDefault="00D017F3" w:rsidP="00D017F3">
      <w:pPr>
        <w:pStyle w:val="NormaleWeb"/>
        <w:spacing w:before="0" w:beforeAutospacing="0" w:after="450" w:afterAutospacing="0"/>
      </w:pPr>
      <w:r>
        <w:t xml:space="preserve">Il </w:t>
      </w:r>
      <w:proofErr w:type="gramStart"/>
      <w:r>
        <w:t>Consiglio dei Ministri</w:t>
      </w:r>
      <w:proofErr w:type="gramEnd"/>
      <w:r>
        <w:t xml:space="preserve">, su proposta del Ministro dell’interno Luciana </w:t>
      </w:r>
      <w:proofErr w:type="spellStart"/>
      <w:r>
        <w:t>Lamorgese</w:t>
      </w:r>
      <w:proofErr w:type="spellEnd"/>
      <w:r>
        <w:t>, ha deliberato lo scioglimento del Consiglio comunale di Maniace (CT) in esito ad accertati condizionamenti della vita amministrativa da parte delle organizzazioni criminali locali.</w:t>
      </w:r>
    </w:p>
    <w:p w14:paraId="45EB88BC" w14:textId="77777777" w:rsidR="00020E37" w:rsidRDefault="00020E37"/>
    <w:sectPr w:rsidR="00020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F3"/>
    <w:rsid w:val="00020E37"/>
    <w:rsid w:val="00D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7974"/>
  <w15:chartTrackingRefBased/>
  <w15:docId w15:val="{A88D3E95-F58B-4B37-9B43-E24C3CD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17F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017F3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017F3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7F3"/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7F3"/>
    <w:rPr>
      <w:rFonts w:ascii="Calibri" w:hAnsi="Calibri" w:cs="Calibri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7F3"/>
    <w:rPr>
      <w:rFonts w:ascii="Calibri" w:hAnsi="Calibri" w:cs="Calibri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17F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h5">
    <w:name w:val="h5"/>
    <w:basedOn w:val="Normale"/>
    <w:uiPriority w:val="99"/>
    <w:semiHidden/>
    <w:rsid w:val="00D017F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1</cp:revision>
  <dcterms:created xsi:type="dcterms:W3CDTF">2020-05-16T14:41:00Z</dcterms:created>
  <dcterms:modified xsi:type="dcterms:W3CDTF">2020-05-16T14:43:00Z</dcterms:modified>
</cp:coreProperties>
</file>